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C3B8" w14:textId="77777777" w:rsidR="00BD4E48" w:rsidRPr="00BD4E48" w:rsidRDefault="00BD4E48" w:rsidP="00BD4E48">
      <w:pPr>
        <w:pStyle w:val="NoSpacing"/>
        <w:jc w:val="center"/>
        <w:rPr>
          <w:rFonts w:ascii="Avenir Book" w:hAnsi="Avenir Book"/>
          <w:b/>
        </w:rPr>
      </w:pPr>
      <w:r w:rsidRPr="00BD4E48">
        <w:rPr>
          <w:rFonts w:ascii="Avenir Book" w:hAnsi="Avenir Book"/>
          <w:b/>
        </w:rPr>
        <w:t>A.P. United States Government</w:t>
      </w:r>
    </w:p>
    <w:p w14:paraId="695E3E83" w14:textId="77777777" w:rsidR="00BD4E48" w:rsidRPr="00BD4E48" w:rsidRDefault="00BD4E48" w:rsidP="00BD4E48">
      <w:pPr>
        <w:pStyle w:val="NoSpacing"/>
        <w:jc w:val="center"/>
        <w:rPr>
          <w:rFonts w:ascii="Avenir Book" w:hAnsi="Avenir Book"/>
          <w:b/>
        </w:rPr>
      </w:pPr>
      <w:r w:rsidRPr="00BD4E48">
        <w:rPr>
          <w:rFonts w:ascii="Avenir Book" w:hAnsi="Avenir Book"/>
          <w:b/>
        </w:rPr>
        <w:t>Supreme Court Case List</w:t>
      </w:r>
    </w:p>
    <w:p w14:paraId="5F910B2B" w14:textId="77777777" w:rsidR="00BD4E48" w:rsidRPr="00BD4E48" w:rsidRDefault="00BD4E48" w:rsidP="00BD4E48">
      <w:pPr>
        <w:pStyle w:val="NoSpacing"/>
        <w:rPr>
          <w:rFonts w:ascii="Avenir Book" w:hAnsi="Avenir Book"/>
        </w:rPr>
      </w:pPr>
    </w:p>
    <w:p w14:paraId="5A6659D2" w14:textId="77777777" w:rsidR="00BD4E48" w:rsidRPr="00BD4E48" w:rsidRDefault="00BD4E48" w:rsidP="00BD4E48">
      <w:pPr>
        <w:pStyle w:val="NoSpacing"/>
        <w:rPr>
          <w:rFonts w:ascii="Avenir Book" w:hAnsi="Avenir Book"/>
        </w:rPr>
      </w:pPr>
      <w:r w:rsidRPr="00BD4E48">
        <w:rPr>
          <w:rFonts w:ascii="Avenir Book" w:hAnsi="Avenir Book"/>
        </w:rPr>
        <w:t>You will write a case brief on ONE of the following court cases. (Explained on the next page.) Use the following websites for information:</w:t>
      </w:r>
    </w:p>
    <w:p w14:paraId="2390A807" w14:textId="77777777" w:rsidR="00BD4E48" w:rsidRPr="00FD26AE" w:rsidRDefault="000A0EF9" w:rsidP="00BD4E48">
      <w:pPr>
        <w:pStyle w:val="NoSpacing"/>
      </w:pPr>
      <w:hyperlink r:id="rId6" w:history="1">
        <w:r w:rsidR="00BD4E48" w:rsidRPr="00FD26AE">
          <w:rPr>
            <w:rStyle w:val="Hyperlink"/>
            <w:rFonts w:ascii="Avenir Book" w:hAnsi="Avenir Book"/>
          </w:rPr>
          <w:t>http://www.law.cornell.edu/supremecourt/text/home</w:t>
        </w:r>
      </w:hyperlink>
    </w:p>
    <w:p w14:paraId="7F8AED1B" w14:textId="77777777" w:rsidR="00BD4E48" w:rsidRPr="00FD26AE" w:rsidRDefault="000A0EF9" w:rsidP="00BD4E48">
      <w:pPr>
        <w:pStyle w:val="NoSpacing"/>
      </w:pPr>
      <w:hyperlink r:id="rId7" w:history="1">
        <w:r w:rsidR="00BD4E48" w:rsidRPr="00FD26AE">
          <w:rPr>
            <w:rStyle w:val="Hyperlink"/>
            <w:rFonts w:ascii="Avenir Book" w:hAnsi="Avenir Book"/>
          </w:rPr>
          <w:t>http://www.oyez.org</w:t>
        </w:r>
      </w:hyperlink>
    </w:p>
    <w:p w14:paraId="0FB7197A"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Marbury v. Madison (1803)</w:t>
      </w:r>
    </w:p>
    <w:p w14:paraId="7E5909C0"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McCulloch v. Maryland (1819)</w:t>
      </w:r>
    </w:p>
    <w:p w14:paraId="38D7FFF0"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Gibbons v. Ogden (1824)</w:t>
      </w:r>
    </w:p>
    <w:p w14:paraId="51827753"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Barron v. Baltimore (1833)</w:t>
      </w:r>
    </w:p>
    <w:p w14:paraId="15287C87"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Reynolds. V. United States (1879)</w:t>
      </w:r>
    </w:p>
    <w:p w14:paraId="4D3E048F"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Plessy</w:t>
      </w:r>
      <w:proofErr w:type="spellEnd"/>
      <w:r w:rsidRPr="00FD26AE">
        <w:rPr>
          <w:rFonts w:ascii="Avenir Book" w:hAnsi="Avenir Book"/>
          <w:color w:val="000000"/>
        </w:rPr>
        <w:t xml:space="preserve"> v. Ferguson (1896)</w:t>
      </w:r>
    </w:p>
    <w:p w14:paraId="5F41C0A8"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Schenck</w:t>
      </w:r>
      <w:proofErr w:type="spellEnd"/>
      <w:r w:rsidRPr="00FD26AE">
        <w:rPr>
          <w:rFonts w:ascii="Avenir Book" w:hAnsi="Avenir Book"/>
          <w:color w:val="000000"/>
        </w:rPr>
        <w:t xml:space="preserve"> v. United States (1919)</w:t>
      </w:r>
    </w:p>
    <w:p w14:paraId="7888DDA5"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Gitlow</w:t>
      </w:r>
      <w:proofErr w:type="spellEnd"/>
      <w:r w:rsidRPr="00FD26AE">
        <w:rPr>
          <w:rFonts w:ascii="Avenir Book" w:hAnsi="Avenir Book"/>
          <w:color w:val="000000"/>
        </w:rPr>
        <w:t xml:space="preserve"> v. New York (1925)</w:t>
      </w:r>
    </w:p>
    <w:p w14:paraId="35AC035F"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Near v. Minnesota (1931)</w:t>
      </w:r>
    </w:p>
    <w:p w14:paraId="230A13E1"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Korematsu</w:t>
      </w:r>
      <w:proofErr w:type="spellEnd"/>
      <w:r w:rsidRPr="00FD26AE">
        <w:rPr>
          <w:rFonts w:ascii="Avenir Book" w:hAnsi="Avenir Book"/>
          <w:color w:val="000000"/>
        </w:rPr>
        <w:t xml:space="preserve"> v. United States (1944)</w:t>
      </w:r>
    </w:p>
    <w:p w14:paraId="54A95356"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Brown v. Board of Education (1954) and Brown II (1955)</w:t>
      </w:r>
    </w:p>
    <w:p w14:paraId="7EEEF7B5"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Mapp</w:t>
      </w:r>
      <w:proofErr w:type="spellEnd"/>
      <w:r w:rsidRPr="00FD26AE">
        <w:rPr>
          <w:rFonts w:ascii="Avenir Book" w:hAnsi="Avenir Book"/>
          <w:color w:val="000000"/>
        </w:rPr>
        <w:t xml:space="preserve"> v. Ohio (1961)</w:t>
      </w:r>
    </w:p>
    <w:p w14:paraId="30A1E96B"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Baker v. Carr (1962)</w:t>
      </w:r>
    </w:p>
    <w:p w14:paraId="4E8481B7"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Engel v. Vitale (1962)</w:t>
      </w:r>
    </w:p>
    <w:p w14:paraId="4C712D22"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Gideon v. Wainwright (1963)</w:t>
      </w:r>
    </w:p>
    <w:p w14:paraId="2CDD6185"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Heart of Atlanta Motel v. United States (1964)</w:t>
      </w:r>
    </w:p>
    <w:p w14:paraId="43F301EF"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New York Times v. Sullivan (1964)</w:t>
      </w:r>
    </w:p>
    <w:p w14:paraId="5C9E06C3"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Griswold v. Connecticut (1965)</w:t>
      </w:r>
    </w:p>
    <w:p w14:paraId="357657FC"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Miranda v. Arizona (1966)</w:t>
      </w:r>
    </w:p>
    <w:p w14:paraId="181A1CAA"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Tinker v. Des Moines School District (1969)</w:t>
      </w:r>
    </w:p>
    <w:p w14:paraId="3CCA6F7D"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 xml:space="preserve">Lemon v. </w:t>
      </w:r>
      <w:proofErr w:type="spellStart"/>
      <w:r w:rsidRPr="00FD26AE">
        <w:rPr>
          <w:rFonts w:ascii="Avenir Book" w:hAnsi="Avenir Book"/>
          <w:color w:val="000000"/>
        </w:rPr>
        <w:t>Kurtzman</w:t>
      </w:r>
      <w:proofErr w:type="spellEnd"/>
      <w:r w:rsidRPr="00FD26AE">
        <w:rPr>
          <w:rFonts w:ascii="Avenir Book" w:hAnsi="Avenir Book"/>
          <w:color w:val="000000"/>
        </w:rPr>
        <w:t xml:space="preserve"> (1971)</w:t>
      </w:r>
    </w:p>
    <w:p w14:paraId="3D23DE0F"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New York Times v. United States (Pentagon Papers Case) (1971)</w:t>
      </w:r>
    </w:p>
    <w:p w14:paraId="240AC283"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Wisconsin v. Yoder (1972)</w:t>
      </w:r>
    </w:p>
    <w:p w14:paraId="4BD4E5FE"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Furman v. Georgia (1972)/Gregg v. Georgia (1976)</w:t>
      </w:r>
    </w:p>
    <w:p w14:paraId="41882946"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Miller v. California (1973)</w:t>
      </w:r>
    </w:p>
    <w:p w14:paraId="1FA440C4"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Roe v. Wade (1973)</w:t>
      </w:r>
    </w:p>
    <w:p w14:paraId="7B556CFA"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 xml:space="preserve">Buckley v. </w:t>
      </w:r>
      <w:proofErr w:type="spellStart"/>
      <w:r w:rsidRPr="00FD26AE">
        <w:rPr>
          <w:rFonts w:ascii="Avenir Book" w:hAnsi="Avenir Book"/>
          <w:color w:val="000000"/>
        </w:rPr>
        <w:t>Valeo</w:t>
      </w:r>
      <w:proofErr w:type="spellEnd"/>
      <w:r w:rsidRPr="00FD26AE">
        <w:rPr>
          <w:rFonts w:ascii="Avenir Book" w:hAnsi="Avenir Book"/>
          <w:color w:val="000000"/>
        </w:rPr>
        <w:t xml:space="preserve"> (1976)</w:t>
      </w:r>
    </w:p>
    <w:p w14:paraId="1742A17E"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Regents of the University of California v. Bakke (1978)</w:t>
      </w:r>
    </w:p>
    <w:p w14:paraId="723A1D30"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 xml:space="preserve">Hazelwood School District v. </w:t>
      </w:r>
      <w:proofErr w:type="spellStart"/>
      <w:r w:rsidRPr="00FD26AE">
        <w:rPr>
          <w:rFonts w:ascii="Avenir Book" w:hAnsi="Avenir Book"/>
          <w:color w:val="000000"/>
        </w:rPr>
        <w:t>Kuhlmeier</w:t>
      </w:r>
      <w:proofErr w:type="spellEnd"/>
      <w:r w:rsidRPr="00FD26AE">
        <w:rPr>
          <w:rFonts w:ascii="Avenir Book" w:hAnsi="Avenir Book"/>
          <w:color w:val="000000"/>
        </w:rPr>
        <w:t xml:space="preserve"> (1987)</w:t>
      </w:r>
    </w:p>
    <w:p w14:paraId="3A7EA00A"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Texas v. Johnson (1989)</w:t>
      </w:r>
    </w:p>
    <w:p w14:paraId="26CE852A"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Webster v. Reproductive Health Services (1989)</w:t>
      </w:r>
    </w:p>
    <w:p w14:paraId="5BD75474"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Oregon v. Smith (1990)</w:t>
      </w:r>
    </w:p>
    <w:p w14:paraId="6ECFC8D2"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Planned Parenthood v. Casey (1992)</w:t>
      </w:r>
    </w:p>
    <w:p w14:paraId="34580299"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United States v. Lopez (1995)</w:t>
      </w:r>
    </w:p>
    <w:p w14:paraId="2F68670C"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Gratz</w:t>
      </w:r>
      <w:proofErr w:type="spellEnd"/>
      <w:r w:rsidRPr="00FD26AE">
        <w:rPr>
          <w:rFonts w:ascii="Avenir Book" w:hAnsi="Avenir Book"/>
          <w:color w:val="000000"/>
        </w:rPr>
        <w:t xml:space="preserve"> v. Bollinger (2003) and </w:t>
      </w:r>
      <w:proofErr w:type="spellStart"/>
      <w:r w:rsidRPr="00FD26AE">
        <w:rPr>
          <w:rFonts w:ascii="Avenir Book" w:hAnsi="Avenir Book"/>
          <w:color w:val="000000"/>
        </w:rPr>
        <w:t>Grutter</w:t>
      </w:r>
      <w:proofErr w:type="spellEnd"/>
      <w:r w:rsidRPr="00FD26AE">
        <w:rPr>
          <w:rFonts w:ascii="Avenir Book" w:hAnsi="Avenir Book"/>
          <w:color w:val="000000"/>
        </w:rPr>
        <w:t xml:space="preserve"> v. Bollinger (2003)</w:t>
      </w:r>
    </w:p>
    <w:p w14:paraId="53460B6E" w14:textId="77777777" w:rsidR="00BD4E48" w:rsidRPr="00FD26AE" w:rsidRDefault="00BD4E48" w:rsidP="00BD4E48">
      <w:pPr>
        <w:numPr>
          <w:ilvl w:val="0"/>
          <w:numId w:val="3"/>
        </w:numPr>
        <w:spacing w:after="0" w:line="240" w:lineRule="auto"/>
        <w:rPr>
          <w:rFonts w:ascii="Avenir Book" w:hAnsi="Avenir Book"/>
          <w:color w:val="000000"/>
        </w:rPr>
      </w:pPr>
      <w:proofErr w:type="spellStart"/>
      <w:r w:rsidRPr="00FD26AE">
        <w:rPr>
          <w:rFonts w:ascii="Avenir Book" w:hAnsi="Avenir Book"/>
          <w:color w:val="000000"/>
        </w:rPr>
        <w:t>Hamdi</w:t>
      </w:r>
      <w:proofErr w:type="spellEnd"/>
      <w:r w:rsidRPr="00FD26AE">
        <w:rPr>
          <w:rFonts w:ascii="Avenir Book" w:hAnsi="Avenir Book"/>
          <w:color w:val="000000"/>
        </w:rPr>
        <w:t xml:space="preserve"> v. Rumsfeld (2004)/ </w:t>
      </w:r>
      <w:proofErr w:type="spellStart"/>
      <w:r w:rsidRPr="00FD26AE">
        <w:rPr>
          <w:rFonts w:ascii="Avenir Book" w:hAnsi="Avenir Book"/>
          <w:color w:val="000000"/>
        </w:rPr>
        <w:t>Hamdan</w:t>
      </w:r>
      <w:proofErr w:type="spellEnd"/>
      <w:r w:rsidRPr="00FD26AE">
        <w:rPr>
          <w:rFonts w:ascii="Avenir Book" w:hAnsi="Avenir Book"/>
          <w:color w:val="000000"/>
        </w:rPr>
        <w:t xml:space="preserve"> v. Rumsfeld (2006)</w:t>
      </w:r>
    </w:p>
    <w:p w14:paraId="41314D28"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District of Columbia v. Heller (2008)/McDonald v. Chicago (2011)</w:t>
      </w:r>
    </w:p>
    <w:p w14:paraId="1B69DB57" w14:textId="77777777" w:rsidR="00BD4E48" w:rsidRPr="00FD26AE" w:rsidRDefault="00BD4E48" w:rsidP="00BD4E48">
      <w:pPr>
        <w:numPr>
          <w:ilvl w:val="0"/>
          <w:numId w:val="3"/>
        </w:numPr>
        <w:spacing w:after="0" w:line="240" w:lineRule="auto"/>
        <w:rPr>
          <w:rFonts w:ascii="Avenir Book" w:hAnsi="Avenir Book"/>
          <w:color w:val="000000"/>
        </w:rPr>
      </w:pPr>
      <w:r w:rsidRPr="00FD26AE">
        <w:rPr>
          <w:rFonts w:ascii="Avenir Book" w:hAnsi="Avenir Book"/>
          <w:color w:val="000000"/>
        </w:rPr>
        <w:t>Citizens United v. Federal Election Commission (2010)</w:t>
      </w:r>
    </w:p>
    <w:p w14:paraId="471049FC" w14:textId="77777777" w:rsidR="00BD4E48" w:rsidRDefault="00BD4E48" w:rsidP="00AC560C">
      <w:pPr>
        <w:spacing w:after="120" w:line="240" w:lineRule="auto"/>
        <w:rPr>
          <w:b/>
          <w:sz w:val="28"/>
        </w:rPr>
      </w:pPr>
    </w:p>
    <w:p w14:paraId="56F316EC" w14:textId="77777777" w:rsidR="00BD4E48" w:rsidRDefault="00BD4E48" w:rsidP="00AC560C">
      <w:pPr>
        <w:spacing w:after="120" w:line="240" w:lineRule="auto"/>
        <w:rPr>
          <w:b/>
          <w:sz w:val="28"/>
        </w:rPr>
      </w:pPr>
    </w:p>
    <w:p w14:paraId="46C3356C" w14:textId="77777777" w:rsidR="00984CB3" w:rsidRPr="00AC560C" w:rsidRDefault="00FA18DA" w:rsidP="00BD4E48">
      <w:pPr>
        <w:spacing w:after="120" w:line="240" w:lineRule="auto"/>
        <w:jc w:val="center"/>
        <w:rPr>
          <w:b/>
          <w:sz w:val="28"/>
        </w:rPr>
      </w:pPr>
      <w:r>
        <w:rPr>
          <w:b/>
          <w:sz w:val="28"/>
        </w:rPr>
        <w:lastRenderedPageBreak/>
        <w:t xml:space="preserve">SCOTUS </w:t>
      </w:r>
      <w:r w:rsidR="00063102">
        <w:rPr>
          <w:b/>
          <w:sz w:val="28"/>
        </w:rPr>
        <w:t>Case Brief</w:t>
      </w:r>
      <w:r>
        <w:rPr>
          <w:b/>
          <w:sz w:val="28"/>
        </w:rPr>
        <w:t>s</w:t>
      </w:r>
    </w:p>
    <w:p w14:paraId="49E55A55" w14:textId="77777777" w:rsidR="00984CB3" w:rsidRPr="005D5EE0" w:rsidRDefault="00984CB3" w:rsidP="00A10B57">
      <w:pPr>
        <w:spacing w:line="240" w:lineRule="auto"/>
        <w:ind w:firstLine="720"/>
        <w:rPr>
          <w:sz w:val="24"/>
          <w:szCs w:val="24"/>
        </w:rPr>
      </w:pPr>
      <w:r w:rsidRPr="005D5EE0">
        <w:rPr>
          <w:sz w:val="24"/>
          <w:szCs w:val="24"/>
        </w:rPr>
        <w:t xml:space="preserve">A case brief is a dissection of a judicial opinion. In this course, students are expected to cursorily summarize a select few of the key elements that go into a more formal case brief. Case briefing aids your memory of the important Constitutional cases that will be discussed and may appear on course tests and the AP Exam. Students will be expected to brief cases in a short form, summarizing the important elements. </w:t>
      </w:r>
    </w:p>
    <w:p w14:paraId="7EC75082" w14:textId="77777777" w:rsidR="00984CB3" w:rsidRPr="005D5EE0" w:rsidRDefault="00984CB3" w:rsidP="00984CB3">
      <w:pPr>
        <w:rPr>
          <w:sz w:val="24"/>
          <w:szCs w:val="24"/>
        </w:rPr>
      </w:pPr>
      <w:r w:rsidRPr="005D5EE0">
        <w:rPr>
          <w:sz w:val="24"/>
          <w:szCs w:val="24"/>
        </w:rPr>
        <w:t xml:space="preserve">The following example sets out the format to be used for </w:t>
      </w:r>
      <w:r w:rsidRPr="005D5EE0">
        <w:rPr>
          <w:sz w:val="24"/>
          <w:szCs w:val="24"/>
          <w:u w:val="single"/>
        </w:rPr>
        <w:t>all</w:t>
      </w:r>
      <w:r w:rsidRPr="005D5EE0">
        <w:rPr>
          <w:sz w:val="24"/>
          <w:szCs w:val="24"/>
        </w:rPr>
        <w:t xml:space="preserve"> </w:t>
      </w:r>
      <w:r w:rsidR="00FA18DA" w:rsidRPr="005D5EE0">
        <w:rPr>
          <w:sz w:val="24"/>
          <w:szCs w:val="24"/>
        </w:rPr>
        <w:t xml:space="preserve">written </w:t>
      </w:r>
      <w:r w:rsidRPr="005D5EE0">
        <w:rPr>
          <w:sz w:val="24"/>
          <w:szCs w:val="24"/>
        </w:rPr>
        <w:t xml:space="preserve">briefs. </w:t>
      </w:r>
    </w:p>
    <w:p w14:paraId="3F687F11" w14:textId="77777777" w:rsidR="00984CB3" w:rsidRPr="005D5EE0" w:rsidRDefault="005D5EE0" w:rsidP="00AC560C">
      <w:pPr>
        <w:spacing w:after="120" w:line="240" w:lineRule="auto"/>
        <w:contextualSpacing/>
        <w:rPr>
          <w:sz w:val="24"/>
          <w:szCs w:val="24"/>
        </w:rPr>
      </w:pPr>
      <w:r w:rsidRPr="005D5EE0">
        <w:rPr>
          <w:noProof/>
          <w:sz w:val="24"/>
          <w:szCs w:val="24"/>
        </w:rPr>
        <mc:AlternateContent>
          <mc:Choice Requires="wps">
            <w:drawing>
              <wp:anchor distT="0" distB="0" distL="114300" distR="114300" simplePos="0" relativeHeight="251658240" behindDoc="0" locked="0" layoutInCell="1" allowOverlap="1" wp14:anchorId="488434EB" wp14:editId="12EEFE81">
                <wp:simplePos x="0" y="0"/>
                <wp:positionH relativeFrom="column">
                  <wp:posOffset>4540250</wp:posOffset>
                </wp:positionH>
                <wp:positionV relativeFrom="paragraph">
                  <wp:posOffset>94615</wp:posOffset>
                </wp:positionV>
                <wp:extent cx="90805" cy="603250"/>
                <wp:effectExtent l="0" t="0" r="36195" b="317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3250"/>
                        </a:xfrm>
                        <a:prstGeom prst="rightBrace">
                          <a:avLst>
                            <a:gd name="adj1" fmla="val 55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57.5pt;margin-top:7.45pt;width:7.1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"/>
            </w:pict>
          </mc:Fallback>
        </mc:AlternateContent>
      </w:r>
      <w:r w:rsidR="00984CB3" w:rsidRPr="005D5EE0">
        <w:rPr>
          <w:sz w:val="24"/>
          <w:szCs w:val="24"/>
        </w:rPr>
        <w:t>Case Name:</w:t>
      </w:r>
      <w:r w:rsidR="00984CB3" w:rsidRPr="005D5EE0">
        <w:rPr>
          <w:sz w:val="24"/>
          <w:szCs w:val="24"/>
        </w:rPr>
        <w:tab/>
      </w:r>
      <w:r w:rsidR="00984CB3" w:rsidRPr="005D5EE0">
        <w:rPr>
          <w:sz w:val="24"/>
          <w:szCs w:val="24"/>
        </w:rPr>
        <w:tab/>
        <w:t xml:space="preserve">Three Bears v Goldilocks </w:t>
      </w:r>
    </w:p>
    <w:p w14:paraId="26DF8220" w14:textId="77777777" w:rsidR="00984CB3" w:rsidRPr="005D5EE0" w:rsidRDefault="005D5EE0" w:rsidP="00AC560C">
      <w:pPr>
        <w:spacing w:after="120" w:line="240" w:lineRule="auto"/>
        <w:contextualSpacing/>
        <w:rPr>
          <w:sz w:val="24"/>
          <w:szCs w:val="24"/>
        </w:rPr>
      </w:pPr>
      <w:r w:rsidRPr="005D5EE0">
        <w:rPr>
          <w:noProof/>
          <w:sz w:val="24"/>
          <w:szCs w:val="24"/>
        </w:rPr>
        <mc:AlternateContent>
          <mc:Choice Requires="wps">
            <w:drawing>
              <wp:anchor distT="0" distB="0" distL="114300" distR="114300" simplePos="0" relativeHeight="251660288" behindDoc="0" locked="0" layoutInCell="1" allowOverlap="1" wp14:anchorId="75A65A40" wp14:editId="09E13CB8">
                <wp:simplePos x="0" y="0"/>
                <wp:positionH relativeFrom="column">
                  <wp:posOffset>4749800</wp:posOffset>
                </wp:positionH>
                <wp:positionV relativeFrom="paragraph">
                  <wp:posOffset>22860</wp:posOffset>
                </wp:positionV>
                <wp:extent cx="2368550" cy="423545"/>
                <wp:effectExtent l="0" t="0" r="19050" b="336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23545"/>
                        </a:xfrm>
                        <a:prstGeom prst="rect">
                          <a:avLst/>
                        </a:prstGeom>
                        <a:solidFill>
                          <a:srgbClr val="FFFFFF"/>
                        </a:solidFill>
                        <a:ln w="9525">
                          <a:solidFill>
                            <a:srgbClr val="FFFFFF"/>
                          </a:solidFill>
                          <a:miter lim="800000"/>
                          <a:headEnd/>
                          <a:tailEnd/>
                        </a:ln>
                      </wps:spPr>
                      <wps:txbx>
                        <w:txbxContent>
                          <w:p w14:paraId="20E30EE0" w14:textId="77777777" w:rsidR="00A10B57" w:rsidRPr="001C3713" w:rsidRDefault="00A10B57">
                            <w:r w:rsidRPr="00E3689A">
                              <w:rPr>
                                <w:rFonts w:ascii="Times New Roman" w:hAnsi="Times New Roman"/>
                                <w:b/>
                                <w:i/>
                              </w:rPr>
                              <w:t>Case &amp; Source Citation</w:t>
                            </w:r>
                            <w:r>
                              <w:t xml:space="preserve"> [5 points]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4pt;margin-top:1.8pt;width:186.5pt;height:3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" strokecolor="white">
                <v:textbox style="mso-fit-shape-to-text:t">
                  <w:txbxContent>
                    <w:p w14:paraId="20E30EE0" w14:textId="77777777" w:rsidR="00A10B57" w:rsidRPr="001C3713" w:rsidRDefault="00A10B57">
                      <w:r w:rsidRPr="00E3689A">
                        <w:rPr>
                          <w:rFonts w:ascii="Times New Roman" w:hAnsi="Times New Roman"/>
                          <w:b/>
                          <w:i/>
                        </w:rPr>
                        <w:t>Case &amp; Source Citation</w:t>
                      </w:r>
                      <w:r>
                        <w:t xml:space="preserve"> [5 points]</w:t>
                      </w:r>
                    </w:p>
                  </w:txbxContent>
                </v:textbox>
              </v:shape>
            </w:pict>
          </mc:Fallback>
        </mc:AlternateContent>
      </w:r>
      <w:r w:rsidR="00984CB3" w:rsidRPr="005D5EE0">
        <w:rPr>
          <w:sz w:val="24"/>
          <w:szCs w:val="24"/>
        </w:rPr>
        <w:t>Court Name:</w:t>
      </w:r>
      <w:r w:rsidR="00984CB3" w:rsidRPr="005D5EE0">
        <w:rPr>
          <w:sz w:val="24"/>
          <w:szCs w:val="24"/>
        </w:rPr>
        <w:tab/>
        <w:t xml:space="preserve"> </w:t>
      </w:r>
      <w:r w:rsidR="00984CB3" w:rsidRPr="005D5EE0">
        <w:rPr>
          <w:sz w:val="24"/>
          <w:szCs w:val="24"/>
        </w:rPr>
        <w:tab/>
        <w:t xml:space="preserve">Supreme Court of the United States </w:t>
      </w:r>
    </w:p>
    <w:p w14:paraId="678FBC05" w14:textId="77777777" w:rsidR="00984CB3" w:rsidRPr="005D5EE0" w:rsidRDefault="00984CB3" w:rsidP="00AC560C">
      <w:pPr>
        <w:spacing w:after="120" w:line="240" w:lineRule="auto"/>
        <w:contextualSpacing/>
        <w:rPr>
          <w:sz w:val="24"/>
          <w:szCs w:val="24"/>
        </w:rPr>
      </w:pPr>
      <w:r w:rsidRPr="005D5EE0">
        <w:rPr>
          <w:sz w:val="24"/>
          <w:szCs w:val="24"/>
        </w:rPr>
        <w:t xml:space="preserve">Date of Decision: </w:t>
      </w:r>
      <w:r w:rsidR="00FA18DA" w:rsidRPr="005D5EE0">
        <w:rPr>
          <w:sz w:val="24"/>
          <w:szCs w:val="24"/>
        </w:rPr>
        <w:tab/>
      </w:r>
      <w:r w:rsidRPr="005D5EE0">
        <w:rPr>
          <w:sz w:val="24"/>
          <w:szCs w:val="24"/>
        </w:rPr>
        <w:t xml:space="preserve">1962 </w:t>
      </w:r>
    </w:p>
    <w:p w14:paraId="102D0714" w14:textId="77777777" w:rsidR="007A370D" w:rsidRPr="005D5EE0" w:rsidRDefault="007A370D" w:rsidP="00AC560C">
      <w:pPr>
        <w:spacing w:after="120" w:line="360" w:lineRule="auto"/>
        <w:contextualSpacing/>
        <w:rPr>
          <w:sz w:val="24"/>
          <w:szCs w:val="24"/>
        </w:rPr>
      </w:pPr>
      <w:r w:rsidRPr="005D5EE0">
        <w:rPr>
          <w:sz w:val="24"/>
          <w:szCs w:val="24"/>
        </w:rPr>
        <w:t xml:space="preserve">Source: </w:t>
      </w:r>
      <w:r w:rsidRPr="005D5EE0">
        <w:rPr>
          <w:sz w:val="24"/>
          <w:szCs w:val="24"/>
        </w:rPr>
        <w:tab/>
      </w:r>
      <w:r w:rsidRPr="005D5EE0">
        <w:rPr>
          <w:sz w:val="24"/>
          <w:szCs w:val="24"/>
        </w:rPr>
        <w:tab/>
        <w:t>http://www.findlaw.com/casecode/supreme.html</w:t>
      </w:r>
    </w:p>
    <w:p w14:paraId="2A753607" w14:textId="77777777" w:rsidR="00E3689A" w:rsidRPr="005D5EE0" w:rsidRDefault="00984CB3" w:rsidP="00FA18DA">
      <w:pPr>
        <w:spacing w:after="120"/>
        <w:ind w:left="1354" w:hanging="1354"/>
        <w:rPr>
          <w:sz w:val="24"/>
          <w:szCs w:val="24"/>
        </w:rPr>
      </w:pPr>
      <w:r w:rsidRPr="005D5EE0">
        <w:rPr>
          <w:sz w:val="24"/>
          <w:szCs w:val="24"/>
        </w:rPr>
        <w:t xml:space="preserve">Facts/History:  </w:t>
      </w:r>
      <w:r w:rsidR="00E3689A" w:rsidRPr="005D5EE0">
        <w:rPr>
          <w:rFonts w:ascii="Times New Roman" w:hAnsi="Times New Roman"/>
          <w:b/>
          <w:i/>
          <w:sz w:val="24"/>
          <w:szCs w:val="24"/>
        </w:rPr>
        <w:t>General description of the events that brought the case to court.</w:t>
      </w:r>
      <w:r w:rsidR="001C3713" w:rsidRPr="005D5EE0">
        <w:rPr>
          <w:rFonts w:ascii="Times New Roman" w:hAnsi="Times New Roman"/>
          <w:b/>
          <w:sz w:val="24"/>
          <w:szCs w:val="24"/>
        </w:rPr>
        <w:t xml:space="preserve"> </w:t>
      </w:r>
      <w:r w:rsidR="001C3713" w:rsidRPr="005D5EE0">
        <w:rPr>
          <w:sz w:val="24"/>
          <w:szCs w:val="24"/>
        </w:rPr>
        <w:t>[10 points]</w:t>
      </w:r>
    </w:p>
    <w:p w14:paraId="6DA66103" w14:textId="77777777" w:rsidR="00984CB3" w:rsidRPr="005D5EE0" w:rsidRDefault="00E3689A" w:rsidP="00AC560C">
      <w:pPr>
        <w:spacing w:after="120" w:line="240" w:lineRule="auto"/>
        <w:ind w:left="1354" w:hanging="1354"/>
        <w:rPr>
          <w:sz w:val="24"/>
          <w:szCs w:val="24"/>
        </w:rPr>
      </w:pPr>
      <w:r w:rsidRPr="005D5EE0">
        <w:rPr>
          <w:sz w:val="24"/>
          <w:szCs w:val="24"/>
        </w:rPr>
        <w:tab/>
      </w:r>
      <w:r w:rsidR="00984CB3" w:rsidRPr="005D5EE0">
        <w:rPr>
          <w:sz w:val="24"/>
          <w:szCs w:val="24"/>
        </w:rPr>
        <w:t xml:space="preserve">Goldilocks, an agent of the Sheriff of Nottingham, entered the residence of the Three Bears to execute a search warrant in pursuit of the fugitive Big Bad Wolf. During the course of her search she discovered illegal contraband porridge, which she confiscated. The trial court found the Three Bears guilty of possession of porridge. Defendants appealed, </w:t>
      </w:r>
      <w:r w:rsidR="007A370D" w:rsidRPr="005D5EE0">
        <w:rPr>
          <w:sz w:val="24"/>
          <w:szCs w:val="24"/>
        </w:rPr>
        <w:t xml:space="preserve">and </w:t>
      </w:r>
      <w:r w:rsidR="00984CB3" w:rsidRPr="005D5EE0">
        <w:rPr>
          <w:sz w:val="24"/>
          <w:szCs w:val="24"/>
        </w:rPr>
        <w:t xml:space="preserve">appeals court upheld </w:t>
      </w:r>
      <w:r w:rsidR="007A370D" w:rsidRPr="005D5EE0">
        <w:rPr>
          <w:sz w:val="24"/>
          <w:szCs w:val="24"/>
        </w:rPr>
        <w:t xml:space="preserve">the </w:t>
      </w:r>
      <w:r w:rsidR="00984CB3" w:rsidRPr="005D5EE0">
        <w:rPr>
          <w:sz w:val="24"/>
          <w:szCs w:val="24"/>
        </w:rPr>
        <w:t xml:space="preserve">lower court ruling. Defendants appealed to </w:t>
      </w:r>
      <w:r w:rsidR="007A370D" w:rsidRPr="005D5EE0">
        <w:rPr>
          <w:sz w:val="24"/>
          <w:szCs w:val="24"/>
        </w:rPr>
        <w:t xml:space="preserve">the </w:t>
      </w:r>
      <w:r w:rsidR="00984CB3" w:rsidRPr="005D5EE0">
        <w:rPr>
          <w:sz w:val="24"/>
          <w:szCs w:val="24"/>
        </w:rPr>
        <w:t xml:space="preserve">Supreme Court. </w:t>
      </w:r>
      <w:r w:rsidR="00984CB3" w:rsidRPr="005D5EE0">
        <w:rPr>
          <w:i/>
          <w:sz w:val="24"/>
          <w:szCs w:val="24"/>
        </w:rPr>
        <w:t>Certiorari</w:t>
      </w:r>
      <w:r w:rsidR="00984CB3" w:rsidRPr="005D5EE0">
        <w:rPr>
          <w:sz w:val="24"/>
          <w:szCs w:val="24"/>
        </w:rPr>
        <w:t xml:space="preserve"> was granted to </w:t>
      </w:r>
      <w:r w:rsidR="007A370D" w:rsidRPr="005D5EE0">
        <w:rPr>
          <w:sz w:val="24"/>
          <w:szCs w:val="24"/>
        </w:rPr>
        <w:t xml:space="preserve">the </w:t>
      </w:r>
      <w:r w:rsidR="00984CB3" w:rsidRPr="005D5EE0">
        <w:rPr>
          <w:sz w:val="24"/>
          <w:szCs w:val="24"/>
        </w:rPr>
        <w:t xml:space="preserve">Supreme Court. </w:t>
      </w:r>
    </w:p>
    <w:p w14:paraId="22E4B251" w14:textId="77777777" w:rsidR="007A370D" w:rsidRPr="005D5EE0" w:rsidRDefault="005D5EE0" w:rsidP="005D5EE0">
      <w:pPr>
        <w:ind w:left="1170" w:hanging="1170"/>
        <w:rPr>
          <w:rFonts w:ascii="Times New Roman" w:hAnsi="Times New Roman"/>
          <w:b/>
          <w:sz w:val="24"/>
          <w:szCs w:val="24"/>
        </w:rPr>
      </w:pPr>
      <w:r>
        <w:rPr>
          <w:sz w:val="24"/>
          <w:szCs w:val="24"/>
        </w:rPr>
        <w:t xml:space="preserve">Issue:            </w:t>
      </w:r>
      <w:r w:rsidR="00E3689A" w:rsidRPr="005D5EE0">
        <w:rPr>
          <w:rFonts w:ascii="Times New Roman" w:hAnsi="Times New Roman"/>
          <w:b/>
          <w:i/>
          <w:sz w:val="24"/>
          <w:szCs w:val="24"/>
        </w:rPr>
        <w:t xml:space="preserve">What are the issues involved in the case? These are usually stated in question form, and refer to the rights and Constitutional issues involved. </w:t>
      </w:r>
      <w:r w:rsidR="001C3713" w:rsidRPr="005D5EE0">
        <w:rPr>
          <w:sz w:val="24"/>
          <w:szCs w:val="24"/>
        </w:rPr>
        <w:t>[20 points]</w:t>
      </w:r>
    </w:p>
    <w:p w14:paraId="3A999B94" w14:textId="77777777" w:rsidR="00984CB3" w:rsidRPr="005D5EE0" w:rsidRDefault="007A370D" w:rsidP="00AC560C">
      <w:pPr>
        <w:spacing w:after="120" w:line="240" w:lineRule="auto"/>
        <w:ind w:left="1354" w:hanging="1354"/>
        <w:rPr>
          <w:sz w:val="24"/>
          <w:szCs w:val="24"/>
        </w:rPr>
      </w:pPr>
      <w:r w:rsidRPr="005D5EE0">
        <w:rPr>
          <w:sz w:val="24"/>
          <w:szCs w:val="24"/>
        </w:rPr>
        <w:tab/>
      </w:r>
      <w:r w:rsidR="00984CB3" w:rsidRPr="005D5EE0">
        <w:rPr>
          <w:sz w:val="24"/>
          <w:szCs w:val="24"/>
        </w:rPr>
        <w:t xml:space="preserve">Was the confiscation and subsequent prosecution based on the confiscation a violation of the Fourth Amendment protection against unreasonable search and seizure? </w:t>
      </w:r>
    </w:p>
    <w:p w14:paraId="31F2418D" w14:textId="77777777" w:rsidR="007A370D" w:rsidRPr="005D5EE0" w:rsidRDefault="00984CB3" w:rsidP="00984CB3">
      <w:pPr>
        <w:rPr>
          <w:sz w:val="24"/>
          <w:szCs w:val="24"/>
        </w:rPr>
      </w:pPr>
      <w:r w:rsidRPr="005D5EE0">
        <w:rPr>
          <w:sz w:val="24"/>
          <w:szCs w:val="24"/>
        </w:rPr>
        <w:t xml:space="preserve">Decision:  </w:t>
      </w:r>
      <w:r w:rsidR="00E3689A" w:rsidRPr="005D5EE0">
        <w:rPr>
          <w:sz w:val="24"/>
          <w:szCs w:val="24"/>
        </w:rPr>
        <w:t xml:space="preserve">     </w:t>
      </w:r>
      <w:r w:rsidR="007A370D" w:rsidRPr="005D5EE0">
        <w:rPr>
          <w:rFonts w:ascii="Times New Roman" w:hAnsi="Times New Roman"/>
          <w:b/>
          <w:i/>
          <w:sz w:val="24"/>
          <w:szCs w:val="24"/>
        </w:rPr>
        <w:t xml:space="preserve">How did the </w:t>
      </w:r>
      <w:r w:rsidR="00AC560C" w:rsidRPr="005D5EE0">
        <w:rPr>
          <w:rFonts w:ascii="Times New Roman" w:hAnsi="Times New Roman"/>
          <w:b/>
          <w:i/>
          <w:sz w:val="24"/>
          <w:szCs w:val="24"/>
        </w:rPr>
        <w:t>court rule? What was the margin? Who wrote the opinion(s)</w:t>
      </w:r>
      <w:r w:rsidR="001C3713" w:rsidRPr="005D5EE0">
        <w:rPr>
          <w:sz w:val="24"/>
          <w:szCs w:val="24"/>
        </w:rPr>
        <w:t xml:space="preserve"> [15 points</w:t>
      </w:r>
      <w:proofErr w:type="gramStart"/>
      <w:r w:rsidR="001C3713" w:rsidRPr="005D5EE0">
        <w:rPr>
          <w:sz w:val="24"/>
          <w:szCs w:val="24"/>
        </w:rPr>
        <w:t>]</w:t>
      </w:r>
      <w:proofErr w:type="gramEnd"/>
    </w:p>
    <w:p w14:paraId="35C98E52" w14:textId="77777777" w:rsidR="00984CB3" w:rsidRPr="005D5EE0" w:rsidRDefault="007A370D" w:rsidP="00FA18DA">
      <w:pPr>
        <w:spacing w:after="120" w:line="240" w:lineRule="auto"/>
        <w:ind w:left="1260"/>
        <w:rPr>
          <w:sz w:val="24"/>
          <w:szCs w:val="24"/>
        </w:rPr>
      </w:pPr>
      <w:r w:rsidRPr="005D5EE0">
        <w:rPr>
          <w:sz w:val="24"/>
          <w:szCs w:val="24"/>
        </w:rPr>
        <w:t xml:space="preserve">In a unanimous decision, the court found that </w:t>
      </w:r>
      <w:r w:rsidR="00984CB3" w:rsidRPr="005D5EE0">
        <w:rPr>
          <w:sz w:val="24"/>
          <w:szCs w:val="24"/>
        </w:rPr>
        <w:t>Goldilocks, although acti</w:t>
      </w:r>
      <w:r w:rsidR="005D5EE0">
        <w:rPr>
          <w:sz w:val="24"/>
          <w:szCs w:val="24"/>
        </w:rPr>
        <w:t xml:space="preserve">ng with a warrant, violated the </w:t>
      </w:r>
      <w:r w:rsidR="00984CB3" w:rsidRPr="005D5EE0">
        <w:rPr>
          <w:sz w:val="24"/>
          <w:szCs w:val="24"/>
        </w:rPr>
        <w:t>defendants’ Co</w:t>
      </w:r>
      <w:r w:rsidRPr="005D5EE0">
        <w:rPr>
          <w:sz w:val="24"/>
          <w:szCs w:val="24"/>
        </w:rPr>
        <w:t>nstitutional protection against search and seizure. In the majority opi</w:t>
      </w:r>
      <w:r w:rsidR="005D5EE0">
        <w:rPr>
          <w:sz w:val="24"/>
          <w:szCs w:val="24"/>
        </w:rPr>
        <w:t xml:space="preserve">nion, Justice Robin </w:t>
      </w:r>
      <w:r w:rsidRPr="005D5EE0">
        <w:rPr>
          <w:sz w:val="24"/>
          <w:szCs w:val="24"/>
        </w:rPr>
        <w:t>Hood wrote that t</w:t>
      </w:r>
      <w:r w:rsidR="00984CB3" w:rsidRPr="005D5EE0">
        <w:rPr>
          <w:sz w:val="24"/>
          <w:szCs w:val="24"/>
        </w:rPr>
        <w:t xml:space="preserve">he warrant was specific to </w:t>
      </w:r>
      <w:r w:rsidRPr="005D5EE0">
        <w:rPr>
          <w:sz w:val="24"/>
          <w:szCs w:val="24"/>
        </w:rPr>
        <w:t xml:space="preserve">the pursuit of </w:t>
      </w:r>
      <w:r w:rsidR="00984CB3" w:rsidRPr="005D5EE0">
        <w:rPr>
          <w:sz w:val="24"/>
          <w:szCs w:val="24"/>
        </w:rPr>
        <w:t xml:space="preserve">a fugitive. Since the warrant provided </w:t>
      </w:r>
      <w:r w:rsidRPr="005D5EE0">
        <w:rPr>
          <w:sz w:val="24"/>
          <w:szCs w:val="24"/>
        </w:rPr>
        <w:t xml:space="preserve">no </w:t>
      </w:r>
      <w:r w:rsidR="005D5EE0">
        <w:rPr>
          <w:sz w:val="24"/>
          <w:szCs w:val="24"/>
        </w:rPr>
        <w:t xml:space="preserve">other </w:t>
      </w:r>
      <w:r w:rsidR="00984CB3" w:rsidRPr="005D5EE0">
        <w:rPr>
          <w:sz w:val="24"/>
          <w:szCs w:val="24"/>
        </w:rPr>
        <w:t>authority to search and s</w:t>
      </w:r>
      <w:r w:rsidRPr="005D5EE0">
        <w:rPr>
          <w:sz w:val="24"/>
          <w:szCs w:val="24"/>
        </w:rPr>
        <w:t xml:space="preserve">eize illegal goods, these goods </w:t>
      </w:r>
      <w:r w:rsidR="00984CB3" w:rsidRPr="005D5EE0">
        <w:rPr>
          <w:sz w:val="24"/>
          <w:szCs w:val="24"/>
        </w:rPr>
        <w:t>were unconstitutionally taken a</w:t>
      </w:r>
      <w:r w:rsidRPr="005D5EE0">
        <w:rPr>
          <w:sz w:val="24"/>
          <w:szCs w:val="24"/>
        </w:rPr>
        <w:t xml:space="preserve">nd may </w:t>
      </w:r>
      <w:r w:rsidR="005D5EE0">
        <w:rPr>
          <w:sz w:val="24"/>
          <w:szCs w:val="24"/>
        </w:rPr>
        <w:t xml:space="preserve">therefore </w:t>
      </w:r>
      <w:r w:rsidR="00984CB3" w:rsidRPr="005D5EE0">
        <w:rPr>
          <w:sz w:val="24"/>
          <w:szCs w:val="24"/>
        </w:rPr>
        <w:t>not be used agains</w:t>
      </w:r>
      <w:r w:rsidRPr="005D5EE0">
        <w:rPr>
          <w:sz w:val="24"/>
          <w:szCs w:val="24"/>
        </w:rPr>
        <w:t xml:space="preserve">t them in a criminal procedure.  </w:t>
      </w:r>
      <w:r w:rsidR="00984CB3" w:rsidRPr="005D5EE0">
        <w:rPr>
          <w:sz w:val="24"/>
          <w:szCs w:val="24"/>
        </w:rPr>
        <w:t xml:space="preserve">Reversed and remanded. </w:t>
      </w:r>
    </w:p>
    <w:p w14:paraId="1065C04D" w14:textId="77777777" w:rsidR="007A370D" w:rsidRPr="005D5EE0" w:rsidRDefault="007A370D" w:rsidP="00FA18DA">
      <w:pPr>
        <w:ind w:left="1260" w:hanging="1260"/>
        <w:rPr>
          <w:rFonts w:ascii="Times New Roman" w:hAnsi="Times New Roman"/>
          <w:b/>
          <w:sz w:val="24"/>
          <w:szCs w:val="24"/>
        </w:rPr>
      </w:pPr>
      <w:r w:rsidRPr="005D5EE0">
        <w:rPr>
          <w:sz w:val="24"/>
          <w:szCs w:val="24"/>
        </w:rPr>
        <w:t xml:space="preserve">Significance:   </w:t>
      </w:r>
      <w:r w:rsidR="00E3689A" w:rsidRPr="005D5EE0">
        <w:rPr>
          <w:rFonts w:ascii="Times New Roman" w:hAnsi="Times New Roman"/>
          <w:b/>
          <w:i/>
          <w:sz w:val="24"/>
          <w:szCs w:val="24"/>
        </w:rPr>
        <w:t xml:space="preserve">What does the case do that has never been done before? What is the principle of law related to this case? </w:t>
      </w:r>
      <w:r w:rsidR="00FA18DA" w:rsidRPr="005D5EE0">
        <w:rPr>
          <w:rFonts w:ascii="Times New Roman" w:hAnsi="Times New Roman"/>
          <w:b/>
          <w:i/>
          <w:sz w:val="24"/>
          <w:szCs w:val="24"/>
        </w:rPr>
        <w:t xml:space="preserve">  </w:t>
      </w:r>
      <w:r w:rsidR="00E3689A" w:rsidRPr="005D5EE0">
        <w:rPr>
          <w:rFonts w:ascii="Times New Roman" w:hAnsi="Times New Roman"/>
          <w:b/>
          <w:i/>
          <w:sz w:val="24"/>
          <w:szCs w:val="24"/>
        </w:rPr>
        <w:t>What new reasoning is being introduced? Is this a precedent-setting case?</w:t>
      </w:r>
      <w:r w:rsidR="001C3713" w:rsidRPr="005D5EE0">
        <w:rPr>
          <w:rFonts w:ascii="Times New Roman" w:hAnsi="Times New Roman"/>
          <w:b/>
          <w:i/>
          <w:sz w:val="24"/>
          <w:szCs w:val="24"/>
        </w:rPr>
        <w:t xml:space="preserve"> </w:t>
      </w:r>
      <w:r w:rsidR="001C3713" w:rsidRPr="005D5EE0">
        <w:rPr>
          <w:sz w:val="24"/>
          <w:szCs w:val="24"/>
        </w:rPr>
        <w:t>[20 points]</w:t>
      </w:r>
    </w:p>
    <w:p w14:paraId="2A8EFBA7" w14:textId="77777777" w:rsidR="005D5EE0" w:rsidRPr="005D5EE0" w:rsidRDefault="00E3689A" w:rsidP="005D5EE0">
      <w:pPr>
        <w:spacing w:after="240" w:line="240" w:lineRule="auto"/>
        <w:ind w:left="1166" w:hanging="1166"/>
        <w:rPr>
          <w:sz w:val="24"/>
          <w:szCs w:val="24"/>
        </w:rPr>
      </w:pPr>
      <w:r w:rsidRPr="005D5EE0">
        <w:rPr>
          <w:rFonts w:ascii="Times New Roman" w:hAnsi="Times New Roman"/>
          <w:b/>
          <w:sz w:val="24"/>
          <w:szCs w:val="24"/>
        </w:rPr>
        <w:tab/>
      </w:r>
      <w:r w:rsidRPr="005D5EE0">
        <w:rPr>
          <w:sz w:val="24"/>
          <w:szCs w:val="24"/>
        </w:rPr>
        <w:t>The court established</w:t>
      </w:r>
      <w:r w:rsidR="00AC560C" w:rsidRPr="005D5EE0">
        <w:rPr>
          <w:sz w:val="24"/>
          <w:szCs w:val="24"/>
        </w:rPr>
        <w:t xml:space="preserve"> that protection against search and seizure is extended to actions taken under warrants.  </w:t>
      </w:r>
      <w:bookmarkStart w:id="0" w:name="_GoBack"/>
      <w:bookmarkEnd w:id="0"/>
    </w:p>
    <w:p w14:paraId="4A58F98D" w14:textId="77777777" w:rsidR="000A0EF9" w:rsidRPr="005D5EE0" w:rsidRDefault="000A0EF9" w:rsidP="00AC560C">
      <w:pPr>
        <w:spacing w:after="120" w:line="240" w:lineRule="auto"/>
        <w:rPr>
          <w:b/>
          <w:sz w:val="24"/>
          <w:szCs w:val="24"/>
          <w:u w:val="single"/>
        </w:rPr>
      </w:pPr>
      <w:r w:rsidRPr="005D5EE0">
        <w:rPr>
          <w:b/>
          <w:sz w:val="24"/>
          <w:szCs w:val="24"/>
          <w:u w:val="single"/>
        </w:rPr>
        <w:t>Case Sharing</w:t>
      </w:r>
    </w:p>
    <w:p w14:paraId="526A85CA" w14:textId="77777777" w:rsidR="005D5EE0" w:rsidRPr="005D5EE0" w:rsidRDefault="005D5EE0" w:rsidP="005D5EE0">
      <w:pPr>
        <w:pStyle w:val="ListParagraph"/>
        <w:numPr>
          <w:ilvl w:val="0"/>
          <w:numId w:val="4"/>
        </w:numPr>
        <w:spacing w:after="40" w:line="240" w:lineRule="auto"/>
        <w:rPr>
          <w:sz w:val="24"/>
          <w:szCs w:val="24"/>
        </w:rPr>
      </w:pPr>
      <w:r w:rsidRPr="005D5EE0">
        <w:rPr>
          <w:sz w:val="24"/>
          <w:szCs w:val="24"/>
        </w:rPr>
        <w:t xml:space="preserve">Write your Case Brief on a Word Doc BEFORE you share. It is easier. </w:t>
      </w:r>
    </w:p>
    <w:p w14:paraId="5B9B81FA" w14:textId="77777777" w:rsidR="005D5EE0" w:rsidRPr="005D5EE0" w:rsidRDefault="005D5EE0" w:rsidP="005D5EE0">
      <w:pPr>
        <w:pStyle w:val="ListParagraph"/>
        <w:numPr>
          <w:ilvl w:val="0"/>
          <w:numId w:val="4"/>
        </w:numPr>
        <w:spacing w:after="40" w:line="240" w:lineRule="auto"/>
        <w:rPr>
          <w:sz w:val="24"/>
          <w:szCs w:val="24"/>
        </w:rPr>
      </w:pPr>
      <w:r w:rsidRPr="005D5EE0">
        <w:rPr>
          <w:sz w:val="24"/>
          <w:szCs w:val="24"/>
        </w:rPr>
        <w:t>Sign into your school Google Docs account.</w:t>
      </w:r>
    </w:p>
    <w:p w14:paraId="77D64DBA" w14:textId="77777777" w:rsidR="00FA18DA" w:rsidRPr="005D5EE0" w:rsidRDefault="005D5EE0" w:rsidP="005D5EE0">
      <w:pPr>
        <w:pStyle w:val="ListParagraph"/>
        <w:numPr>
          <w:ilvl w:val="0"/>
          <w:numId w:val="4"/>
        </w:numPr>
        <w:spacing w:after="40" w:line="240" w:lineRule="auto"/>
        <w:rPr>
          <w:sz w:val="24"/>
          <w:szCs w:val="24"/>
        </w:rPr>
      </w:pPr>
      <w:r w:rsidRPr="005D5EE0">
        <w:rPr>
          <w:sz w:val="24"/>
          <w:szCs w:val="24"/>
        </w:rPr>
        <w:t xml:space="preserve"> </w:t>
      </w:r>
      <w:r w:rsidR="00A10B57" w:rsidRPr="005D5EE0">
        <w:rPr>
          <w:sz w:val="24"/>
          <w:szCs w:val="24"/>
        </w:rPr>
        <w:t xml:space="preserve">Go to my website: socialstudiesrogers.weebly.com and click </w:t>
      </w:r>
      <w:r w:rsidRPr="005D5EE0">
        <w:rPr>
          <w:sz w:val="24"/>
          <w:szCs w:val="24"/>
        </w:rPr>
        <w:t>“Court Cases ____ Period”</w:t>
      </w:r>
    </w:p>
    <w:p w14:paraId="7370C6B6" w14:textId="77777777" w:rsidR="005D5EE0" w:rsidRPr="005D5EE0" w:rsidRDefault="005D5EE0" w:rsidP="005D5EE0">
      <w:pPr>
        <w:pStyle w:val="ListParagraph"/>
        <w:numPr>
          <w:ilvl w:val="0"/>
          <w:numId w:val="4"/>
        </w:numPr>
        <w:spacing w:after="40" w:line="240" w:lineRule="auto"/>
        <w:rPr>
          <w:sz w:val="24"/>
          <w:szCs w:val="24"/>
        </w:rPr>
      </w:pPr>
      <w:r w:rsidRPr="005D5EE0">
        <w:rPr>
          <w:sz w:val="24"/>
          <w:szCs w:val="24"/>
        </w:rPr>
        <w:t xml:space="preserve">Copy and Paste your court case to the doc! PLEASE be aware of the order! </w:t>
      </w:r>
    </w:p>
    <w:sectPr w:rsidR="005D5EE0" w:rsidRPr="005D5EE0" w:rsidSect="00984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6F8"/>
    <w:multiLevelType w:val="hybridMultilevel"/>
    <w:tmpl w:val="C798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80585"/>
    <w:multiLevelType w:val="hybridMultilevel"/>
    <w:tmpl w:val="D94A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B38FE"/>
    <w:multiLevelType w:val="hybridMultilevel"/>
    <w:tmpl w:val="5F62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91E3E"/>
    <w:multiLevelType w:val="hybridMultilevel"/>
    <w:tmpl w:val="F74A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B3"/>
    <w:rsid w:val="00063102"/>
    <w:rsid w:val="000A0EF9"/>
    <w:rsid w:val="001C3713"/>
    <w:rsid w:val="003C38FC"/>
    <w:rsid w:val="005D5EE0"/>
    <w:rsid w:val="007A370D"/>
    <w:rsid w:val="00984CB3"/>
    <w:rsid w:val="00A10B57"/>
    <w:rsid w:val="00AC560C"/>
    <w:rsid w:val="00B41B94"/>
    <w:rsid w:val="00BD4E48"/>
    <w:rsid w:val="00E36357"/>
    <w:rsid w:val="00E3689A"/>
    <w:rsid w:val="00EC28BD"/>
    <w:rsid w:val="00F11345"/>
    <w:rsid w:val="00FA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E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0D"/>
    <w:pPr>
      <w:ind w:left="720"/>
    </w:pPr>
  </w:style>
  <w:style w:type="paragraph" w:styleId="BalloonText">
    <w:name w:val="Balloon Text"/>
    <w:basedOn w:val="Normal"/>
    <w:link w:val="BalloonTextChar"/>
    <w:uiPriority w:val="99"/>
    <w:semiHidden/>
    <w:unhideWhenUsed/>
    <w:rsid w:val="00E3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9A"/>
    <w:rPr>
      <w:rFonts w:ascii="Tahoma" w:hAnsi="Tahoma" w:cs="Tahoma"/>
      <w:sz w:val="16"/>
      <w:szCs w:val="16"/>
    </w:rPr>
  </w:style>
  <w:style w:type="table" w:styleId="TableGrid">
    <w:name w:val="Table Grid"/>
    <w:basedOn w:val="TableNormal"/>
    <w:uiPriority w:val="59"/>
    <w:rsid w:val="00FA1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D4E48"/>
    <w:rPr>
      <w:color w:val="0000FF"/>
      <w:u w:val="single"/>
    </w:rPr>
  </w:style>
  <w:style w:type="paragraph" w:styleId="NoSpacing">
    <w:name w:val="No Spacing"/>
    <w:uiPriority w:val="1"/>
    <w:qFormat/>
    <w:rsid w:val="00BD4E4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0D"/>
    <w:pPr>
      <w:ind w:left="720"/>
    </w:pPr>
  </w:style>
  <w:style w:type="paragraph" w:styleId="BalloonText">
    <w:name w:val="Balloon Text"/>
    <w:basedOn w:val="Normal"/>
    <w:link w:val="BalloonTextChar"/>
    <w:uiPriority w:val="99"/>
    <w:semiHidden/>
    <w:unhideWhenUsed/>
    <w:rsid w:val="00E3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9A"/>
    <w:rPr>
      <w:rFonts w:ascii="Tahoma" w:hAnsi="Tahoma" w:cs="Tahoma"/>
      <w:sz w:val="16"/>
      <w:szCs w:val="16"/>
    </w:rPr>
  </w:style>
  <w:style w:type="table" w:styleId="TableGrid">
    <w:name w:val="Table Grid"/>
    <w:basedOn w:val="TableNormal"/>
    <w:uiPriority w:val="59"/>
    <w:rsid w:val="00FA1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D4E48"/>
    <w:rPr>
      <w:color w:val="0000FF"/>
      <w:u w:val="single"/>
    </w:rPr>
  </w:style>
  <w:style w:type="paragraph" w:styleId="NoSpacing">
    <w:name w:val="No Spacing"/>
    <w:uiPriority w:val="1"/>
    <w:qFormat/>
    <w:rsid w:val="00BD4E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cornell.edu/supremecourt/text/home" TargetMode="External"/><Relationship Id="rId7" Type="http://schemas.openxmlformats.org/officeDocument/2006/relationships/hyperlink" Target="http://www.oyez.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Fairfield-Suisun Unified School District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Amber Rogers</cp:lastModifiedBy>
  <cp:revision>3</cp:revision>
  <cp:lastPrinted>2015-09-03T21:14:00Z</cp:lastPrinted>
  <dcterms:created xsi:type="dcterms:W3CDTF">2015-11-24T15:55:00Z</dcterms:created>
  <dcterms:modified xsi:type="dcterms:W3CDTF">2015-12-07T16:22:00Z</dcterms:modified>
</cp:coreProperties>
</file>